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De-Mail-G — Auskunftsanspruch</w:t>
      </w:r>
    </w:p>
    <w:p>
      <w:r>
        <w:rPr>
          <w:color w:val="555555"/>
          <w:sz w:val="18"/>
        </w:rPr>
        <w:t xml:space="preserve">De-Mail-Gesetz</w:t>
      </w:r>
    </w:p>
    <w:p>
      <w:r>
        <w:rPr>
          <w:color w:val="555555"/>
          <w:sz w:val="18"/>
        </w:rPr>
        <w:t xml:space="preserve">Stand: 02.12.2019 (konsolidierte Textfassung, kein amtliches Inkrafttretensdatum)</w:t>
      </w:r>
    </w:p>
    <w:p>
      <w:r>
        <w:t xml:space="preserve">(1) Ein akkreditierter Diensteanbieter erteilt Dritten Auskunft über Namen und Anschrift eines Nutzers, wenn</w:t>
      </w:r>
    </w:p>
    <w:p>
      <w:pPr>
        <w:ind w:left="420"/>
      </w:pPr>
      <w:r>
        <w:t xml:space="preserve">1. der Dritte glaubhaft macht, die Auskunft zur Verfolgung eines Rechtsanspruches gegen den Nutzer zu benötigen,</w:t>
      </w:r>
    </w:p>
    <w:p>
      <w:pPr>
        <w:ind w:left="420"/>
      </w:pPr>
      <w:r>
        <w:t xml:space="preserve">2. sich die Auskunft auf ein Rechtsverhältnis zwischen dem Dritten und dem Nutzer bezieht, das unter Nutzung von De-Mail zustande gekommen ist,</w:t>
      </w:r>
    </w:p>
    <w:p>
      <w:pPr>
        <w:ind w:left="420"/>
      </w:pPr>
      <w:r>
        <w:t xml:space="preserve">3. der Dritte die zur Feststellung seiner Identität notwendigen Angaben im Sinne von § 3 Absatz 2 macht,</w:t>
      </w:r>
    </w:p>
    <w:p>
      <w:pPr>
        <w:ind w:left="420"/>
      </w:pPr>
      <w:r>
        <w:t xml:space="preserve">4. der akkreditierte Diensteanbieter die Richtigkeit der Angaben nach § 3 Absatz 3 überprüft hat,</w:t>
      </w:r>
    </w:p>
    <w:p>
      <w:pPr>
        <w:ind w:left="420"/>
      </w:pPr>
      <w:r>
        <w:t xml:space="preserve">5. das Verlangen nicht rechtsmissbräuchlich ist, insbesondere nicht allein dem Zweck dient, ein Pseudonym aufzudecken, und</w:t>
      </w:r>
    </w:p>
    <w:p>
      <w:pPr>
        <w:ind w:left="420"/>
      </w:pPr>
      <w:r>
        <w:t xml:space="preserve">6. die schutzwürdigen Interessen des Nutzers im Einzelfall nicht überwiegen.</w:t>
      </w:r>
    </w:p>
    <w:p>
      <w:r>
        <w:t xml:space="preserve">(2) Der Dritte hat dem akkreditierten Diensteanbieter zur Glaubhaftmachung nach Absatz 1 Nummer 1 elektronische Nachrichten oder Schriftstücke zu übermitteln, aus denen sich das Rechtsverhältnis zum Nutzer ergibt, sofern diese angefallen sind. Der akkreditierte Diensteanbieter hat den Nutzer von dem Auskunftsersuchen unverzüglich und unter Benennung des Dritten zu informieren und ihm Gelegenheit zur Stellungnahme zum Auskunftsersuchen zu gewähren, soweit dies die Verfolgung des Rechtsanspruchs des Dritten nicht im Einzelfall gefährdet.</w:t>
      </w:r>
    </w:p>
    <w:p>
      <w:r>
        <w:t xml:space="preserve">(3) Der akkreditierte Diensteanbieter kann den Ersatz der für die Auskunftserteilung erforderlichen Aufwendungen verlangen.</w:t>
      </w:r>
    </w:p>
    <w:p>
      <w:r>
        <w:t xml:space="preserve">(4) Die durch die Auskunftserteilung erlangten Daten dürfen nur zu dem bei dem Ersuchen angegebenen Zweck verwendet werden.</w:t>
      </w:r>
    </w:p>
    <w:p>
      <w:r>
        <w:t xml:space="preserve">(5) Der akkreditierte Diensteanbieter hat die Auskunftserteilung nach Absatz 1 zu dokumentieren und den Nutzer von der Erteilung der Auskunft zu informieren. Die Dokumentationspflicht nach Satz 1 umfasst den Antrag zur Auskunftserteilung samt Angabe des Dritten nach Absatz 1, die Entscheidung des akkreditierten Diensteanbieters, die Identifizierungsdaten des bearbeitenden Mitarbeiters des akkreditierten Diensteanbieters, die Mitteilung des Ergebnisses an den auskunftsersuchenden Dritten, die Mitteilung über die Auskunftserteilung an den Nutzer und die jeweilige gesetzliche Zeit bei einzelnen Prozessen innerhalb der Auskunftserteilung. Die Dokumentation ist drei Jahre aufzubewahren.</w:t>
      </w:r>
    </w:p>
    <w:p>
      <w:r>
        <w:t xml:space="preserve">(6) Die §§ 13 und 13a des Gesetzes über Unterlassungsklagen bei Verbraucherrechts- und anderen Verstößen bleiben unberührt.</w:t>
      </w:r>
    </w:p>
    <w:p>
      <w:r>
        <w:t xml:space="preserve">(7) Die nach anderen Rechtsvorschriften bestehenden Regelungen zu Auskünften gegenüber öffentlichen Stellen bleiben unberührt.</w:t>
      </w:r>
    </w:p>
    <w:p>
      <w:r>
        <w:rPr>
          <w:color w:val="555555"/>
          <w:sz w:val="17"/>
        </w:rPr>
        <w:t xml:space="preserve">Zitiervorschlag: § 16 De-Mail-G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https://recht.nulegal.eu/gesetze/De-Mail-G/16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