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DarlehensV 2022 — Geringfügiger Verstoß gegen die Zahlungs- und Mitwirkungspflichten</w:t>
      </w:r>
    </w:p>
    <w:p>
      <w:r>
        <w:rPr>
          <w:color w:val="555555"/>
          <w:sz w:val="18"/>
        </w:rPr>
        <w:t xml:space="preserve">Darlehensverordnung</w:t>
      </w:r>
    </w:p>
    <w:p>
      <w:r>
        <w:rPr>
          <w:color w:val="555555"/>
          <w:sz w:val="18"/>
        </w:rPr>
        <w:t xml:space="preserve">Stand: 02.10.2025 (konsolidierte Textfassung, kein amtliches Inkrafttretensdatum)</w:t>
      </w:r>
    </w:p>
    <w:p>
      <w:r>
        <w:t xml:space="preserve">Ein im Sinne des § 18 Absatz 12 Satz 1 des Bundesausbildungsförderungsgesetzes (Gesetz) nur geringfügiger Verstoß gegen die Zahlungs- und Mitwirkungspflichten ist anzunehmen, wenn im maßgeblichen Rückzahlungszeitraum nach § 18 Absatz 3 Satz 1 des Gesetzes</w:t>
      </w:r>
    </w:p>
    <w:p>
      <w:pPr>
        <w:ind w:left="420"/>
      </w:pPr>
      <w:r>
        <w:t xml:space="preserve">1. höchstens einmal eine Kostenpauschale für die Anschriftenermittlung nach § 12 Absatz 2 Satz 1 wegen Verstoßes gegen die Mitteilungsverpflichtung bei Änderungen der Wohnanschrift und des Familiennamens zu erheben war,</w:t>
      </w:r>
    </w:p>
    <w:p>
      <w:pPr>
        <w:ind w:left="420"/>
      </w:pPr>
      <w:r>
        <w:t xml:space="preserve">2. kein Bußgeld wegen Verstoßes gegen die Mitteilungsverpflichtung nach § 12 Absatz 1 Nummer 4 bei einer Änderung der nach § 18a des Gesetzes maßgeblichen Familien- und Einkommensverhältnisse bestandskräftig festgesetzt wurde und</w:t>
      </w:r>
    </w:p>
    <w:p>
      <w:pPr>
        <w:ind w:left="420"/>
      </w:pPr>
      <w:r>
        <w:t xml:space="preserve">3. höchstens für die Dauer von 150 Tagen nach § 18 Absatz 2 Satz 2 und 3 des Gesetzes Zinsen wegen Überschreitung des Zahlungstermins angefallen sind.</w:t>
      </w:r>
    </w:p>
    <w:p>
      <w:r>
        <w:rPr>
          <w:color w:val="555555"/>
          <w:sz w:val="17"/>
        </w:rPr>
        <w:t xml:space="preserve">Zitiervorschlag: § 2 DarlehensV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https://recht.nulegal.eu/gesetze/DarlehensV%202022/2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