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DarlehensV 1980 — Zahlungsrückstand</w:t>
      </w:r>
    </w:p>
    <w:p>
      <w:r>
        <w:rPr>
          <w:color w:val="555555"/>
          <w:sz w:val="18"/>
        </w:rPr>
        <w:t xml:space="preserve">Verordnung über die Einziehung der nach dem Bundesausbildungsförderungsgesetz geleisteten Darlehen</w:t>
      </w:r>
    </w:p>
    <w:p>
      <w:r>
        <w:rPr>
          <w:color w:val="555555"/>
          <w:sz w:val="18"/>
        </w:rPr>
        <w:t xml:space="preserve">Historische Fassung: Stand 07.09.2019 bis 29.10.2022. Dies ist nicht die aktuelle Fassung.</w:t>
      </w:r>
    </w:p>
    <w:p>
      <w:r>
        <w:t xml:space="preserve">(1) Nach dem Zahlungstermin werden gesondert erhoben:</w:t>
      </w:r>
    </w:p>
    <w:p>
      <w:pPr>
        <w:ind w:left="420"/>
      </w:pPr>
      <w:r>
        <w:t xml:space="preserve">1. Zinsen nach § 18 Absatz 2 des Gesetzes ab dem auf den Zahlungstermin folgenden Monat, wobei einem Kalendermonat 30 Tage zugrunde zu legen sind,</w:t>
      </w:r>
    </w:p>
    <w:p>
      <w:pPr>
        <w:ind w:left="420"/>
      </w:pPr>
      <w:r>
        <w:t xml:space="preserve">2. 5 Euro Mahnkosten.</w:t>
      </w:r>
    </w:p>
    <w:p>
      <w:r>
        <w:t xml:space="preserve">(2) Die Rechtsfolgen nach Absatz 1 treten unabhängig davon ein, ob dem Darlehensnehmer ein Bescheid nach § 10 zugegangen ist. Abweichend von Satz 1 treten die Rechtsfolgen nicht ein, solange der Bescheid dem Darlehensnehmer aus von ihm nicht zu vertretenden Gründen nicht zugegangen ist.</w:t>
      </w:r>
    </w:p>
    <w:p>
      <w:r>
        <w:rPr>
          <w:color w:val="555555"/>
          <w:sz w:val="17"/>
        </w:rPr>
        <w:t xml:space="preserve">Zitiervorschlag: § 8 DarlehensV 1980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https://recht.nulegal.eu/gesetze/DarlehensV%201980/8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