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DarlehensV 1980 — Aufteilung der eingezogenen Beträge</w:t>
      </w:r>
    </w:p>
    <w:p>
      <w:r>
        <w:rPr>
          <w:color w:val="555555"/>
          <w:sz w:val="18"/>
        </w:rPr>
        <w:t xml:space="preserve">Verordnung über die Einziehung der nach dem Bundesausbildungsförderungsgesetz geleisteten Darlehen</w:t>
      </w:r>
    </w:p>
    <w:p>
      <w:r>
        <w:rPr>
          <w:color w:val="555555"/>
          <w:sz w:val="18"/>
        </w:rPr>
        <w:t xml:space="preserve">Historische Fassung: Stand 10.06.2019 bis 29.10.2022. Dies ist nicht die aktuelle Fassung.</w:t>
      </w:r>
    </w:p>
    <w:p>
      <w:r>
        <w:t xml:space="preserve">(1) Das Bundesverwaltungsamt hat den Ländern nach Ablauf eines Kalenderjahres eine Aufstellung über die Höhe der eingezogenen Beträge und Zinsen (Darlehens- und Zahlungsrückstandszinsen) sowie über die Aufteilung nach Maßgabe des § 56 Absatz 2 des Gesetzes zu übermitteln. Es hat zum Ende des jeweiligen Kalenderjahres jedem Land eine Abschlagszahlung in Höhe des ihm voraussichtlich zustehenden Betrages zu leisten und bis zum 30. Juni des laufenden Jahres den Restbetrag abzuführen, der ihm nach § 56 Absatz 2 Satz 4 zusteht.</w:t>
      </w:r>
    </w:p>
    <w:p>
      <w:r>
        <w:t xml:space="preserve">(2) Kostenerstattungen nach § 8 Absatz 1 Nummer 2 und § 12 Absatz 2 sowie Bußgelder nach § 14 verbleiben in voller Höhe dem Bund.</w:t>
      </w:r>
    </w:p>
    <w:p>
      <w:r>
        <w:rPr>
          <w:color w:val="555555"/>
          <w:sz w:val="17"/>
        </w:rPr>
        <w:t xml:space="preserve">Zitiervorschlag: § 13 DarlehensV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https://recht.nulegal.eu/gesetze/DarlehensV%201980/13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DarlehensV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