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DarlVermV — Verbot der Annahme von Geldern</w:t>
      </w:r>
    </w:p>
    <w:p>
      <w:r>
        <w:rPr>
          <w:color w:val="555555"/>
          <w:sz w:val="18"/>
        </w:rPr>
        <w:t xml:space="preserve">Darlehensvermittlungsverordnung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Gewerbetreibende ist nicht befugt, sich im Zusammenhang mit seiner Tätigkeit nach § 34k Absatz 1 der Gewerbeordnung Eigentum oder Besitz an Geldern des Darlehensnehmers zu verschaffen.</w:t>
      </w:r>
    </w:p>
    <w:p>
      <w:r>
        <w:rPr>
          <w:color w:val="555555"/>
          <w:sz w:val="17"/>
        </w:rPr>
        <w:t xml:space="preserve">Zitiervorschlag: § 11 DarlVermV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https://recht.nulegal.eu/gesetze/DarlVermV/11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