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DarlVermV — Allgemeine Verhaltenspflicht</w:t>
      </w:r>
    </w:p>
    <w:p>
      <w:r>
        <w:rPr>
          <w:color w:val="555555"/>
          <w:sz w:val="18"/>
        </w:rPr>
        <w:t xml:space="preserve">Darlehensvermittlungsverordnung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Gewerbetreibende ist verpflichtet, seine Tätigkeit nach § 34k Absatz 1 der Gewerbeordnung mit der erforderlichen Sachkenntnis, Sorgfalt und Gewissenhaftigkeit im Interesse des Darlehensnehmers auszuüben.</w:t>
      </w:r>
    </w:p>
    <w:p>
      <w:r>
        <w:rPr>
          <w:color w:val="555555"/>
          <w:sz w:val="17"/>
        </w:rPr>
        <w:t xml:space="preserve">Zitiervorschlag: § 10 DarlVermV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https://recht.nulegal.eu/gesetze/DarlVermV/10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