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DahmSprG (Brandenburg)</w:t>
      </w:r>
    </w:p>
    <w:p>
      <w:r>
        <w:rPr>
          <w:color w:val="555555"/>
          <w:sz w:val="18"/>
        </w:rPr>
        <w:t xml:space="preserve">Dahme-Spreewald-Gesetz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Dahme-Spreewald sollen den Städten Königs Wusterhausen und Luckau, die infolge der Kreisgebietsreform</w:t>
      </w:r>
    </w:p>
    <w:p>
      <w:r>
        <w:t xml:space="preserve">die Eigenschaft als Kreissitz verlieren, einen angemessenen Ausgleich verschaffen.</w:t>
      </w:r>
    </w:p>
    <w:p>
      <w:r>
        <w:t xml:space="preserve">(2) Die Städte Königs Wusterhausen und Luckau erhalten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erhalten</w:t>
      </w:r>
    </w:p>
    <w:p>
      <w:r>
        <w:t xml:space="preserve">die Stadt Königs Wusterhausen eine zusätzliche Investitionspauschale in Höhe von 995 700 DM jährlich und</w:t>
      </w:r>
    </w:p>
    <w:p>
      <w:r>
        <w:t xml:space="preserve">die Stadt Luckau eine zusätzliche Investitionspauschale in Höhe von 1 381 060 DM jährlich.</w:t>
      </w:r>
    </w:p>
    <w:p>
      <w:r>
        <w:rPr>
          <w:color w:val="555555"/>
          <w:sz w:val="17"/>
        </w:rPr>
        <w:t xml:space="preserve">Zitiervorschlag: § 3 DahmSprG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https://recht.nulegal.eu/gesetze/DahmSprG/3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