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DachdMstrV 2006 — Inkrafttreten, Außerkrafttreten</w:t>
      </w:r>
    </w:p>
    <w:p>
      <w:r>
        <w:rPr>
          <w:color w:val="555555"/>
          <w:sz w:val="18"/>
        </w:rPr>
        <w:t xml:space="preserve">Dachdeckermeisterverordnung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Oktober 2006 in Kraft.</w:t>
      </w:r>
    </w:p>
    <w:p>
      <w:r>
        <w:rPr>
          <w:color w:val="555555"/>
          <w:sz w:val="17"/>
        </w:rPr>
        <w:t xml:space="preserve">Zitiervorschlag: § 11 DachdMstrV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https://recht.nulegal.eu/gesetze/DachdMstrV%202006/11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DachdMstrV 2006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