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DachdMstrV 2006 — Übergangsvorschrift</w:t>
      </w:r>
    </w:p>
    <w:p>
      <w:r>
        <w:rPr>
          <w:color w:val="555555"/>
          <w:sz w:val="18"/>
        </w:rPr>
        <w:t xml:space="preserve">Dachdeckermeisterverordnung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Regelungen des § 8 Absatz 6 und 7 gelten nicht für die bis zum 31. Dezember 2011 begonnenen Prüfungsverfahren. Diese werden nach den bisherigen Vorschriften zu Ende geführt.</w:t>
      </w:r>
    </w:p>
    <w:p>
      <w:r>
        <w:rPr>
          <w:color w:val="555555"/>
          <w:sz w:val="17"/>
        </w:rPr>
        <w:t xml:space="preserve">Zitiervorschlag: § 10 DachdMstrV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https://recht.nulegal.eu/gesetze/DachdMstrV%202006/10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