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DachdArbbV9 — Anwendungsausnahmen</w:t>
      </w:r>
    </w:p>
    <w:p>
      <w:r>
        <w:rPr>
          <w:color w:val="555555"/>
          <w:sz w:val="18"/>
        </w:rPr>
        <w:t xml:space="preserve">Neunte Dachdeckerarbeitsbedingungenverordnung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Diese Verordnung findet keine Anwendung auf Gesamtheiten von Arbeitnehmern im Sinne des § 1 Nummer 2 Satz 4 des Rahmentarifvertrags für gewerbliche Arbeitnehmer im Dachdeckerhandwerk – Dach-, Wand- und Abdichtungstechnik – in der aus dem Anhang zur Anlage ersichtlichen Fassung,</w:t>
      </w:r>
    </w:p>
    <w:p>
      <w:pPr>
        <w:ind w:left="420"/>
      </w:pPr>
      <w:r>
        <w:t xml:space="preserve">1. deren Arbeitgeber anderweitig tarifvertraglich gebunden sind oder</w:t>
      </w:r>
    </w:p>
    <w:p>
      <w:pPr>
        <w:ind w:left="420"/>
      </w:pPr>
      <w:r>
        <w:t xml:space="preserve">2. die bei Arbeitgebern mit Sitz im Ausland beschäftigt sind.</w:t>
      </w:r>
    </w:p>
    <w:p>
      <w:r>
        <w:rPr>
          <w:color w:val="555555"/>
          <w:sz w:val="17"/>
        </w:rPr>
        <w:t xml:space="preserve">Zitiervorschlag: § 2 DachdArbbV9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https://recht.nulegal.eu/gesetze/DachdArbbV9/2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