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DachdArbbV 13 — (zu § 1) Rechtsnormen des Tarifvertrags zur Regelung eines Mindestlohnes im Dachdeckerhandwerk – Dach-, Wand- und Abdichtungstechnik – im Gebiet der Bundesrepublik Deutschland (TV Mindestlohn) vom 2. Oktober 2025</w:t>
      </w:r>
    </w:p>
    <w:p>
      <w:r>
        <w:rPr>
          <w:color w:val="555555"/>
          <w:sz w:val="18"/>
        </w:rPr>
        <w:t xml:space="preserve">Dreizehnte Dachdeckerarbeitsbedingungenverordnung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(Fundstelle: BGBl. 2025 I Nr. 333, S. 3 - 6) (Text der Anlage siehe: TVMindestlohnDachd 13)</w:t>
      </w:r>
    </w:p>
    <w:p>
      <w:r>
        <w:rPr>
          <w:color w:val="555555"/>
          <w:sz w:val="17"/>
        </w:rPr>
        <w:t xml:space="preserve">Zitiervorschlag: Anlage DachdArbbV 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https://recht.nulegal.eu/gesetze/DachdArbbV%2013/anlage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