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DachdArbbV 13 — Inkrafttreten</w:t>
      </w:r>
    </w:p>
    <w:p>
      <w:r>
        <w:rPr>
          <w:color w:val="555555"/>
          <w:sz w:val="18"/>
        </w:rPr>
        <w:t xml:space="preserve">Dreizehnte Dachdeckerarbeitsbedingungenverordnung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am 1. Januar 2026 in Kraft.</w:t>
      </w:r>
    </w:p>
    <w:p>
      <w:r>
        <w:rPr>
          <w:color w:val="555555"/>
          <w:sz w:val="17"/>
        </w:rPr>
        <w:t xml:space="preserve">Zitiervorschlag: § 3 DachdArbbV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