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DachdArbbV 11 — Anwendungsausnahmen</w:t>
      </w:r>
    </w:p>
    <w:p>
      <w:r>
        <w:rPr>
          <w:color w:val="555555"/>
          <w:sz w:val="18"/>
        </w:rPr>
        <w:t xml:space="preserve">Elfte Dachdeckerarbeitsbedingungenverordnung</w:t>
      </w:r>
    </w:p>
    <w:p>
      <w:r>
        <w:rPr>
          <w:color w:val="555555"/>
          <w:sz w:val="18"/>
        </w:rPr>
        <w:t xml:space="preserve">Historische Fassung: Stand 01.01.2022 bis 01.01.2024. Dies ist nicht die aktuelle Fassung.</w:t>
      </w:r>
    </w:p>
    <w:p>
      <w:r>
        <w:t xml:space="preserve">(1) Diese Verordnung findet keine Anwendung auf Gesamtheiten von Arbeitnehmerinnen und Arbeitnehmern im Sinne des § 1 Nummer 2 Satz 4 des Rahmentarifvertrags für gewerbliche Arbeitnehmer im Dachdeckerhandwerk – Dach-, Wand- und Abdichtungstechnik – (RTV)</w:t>
      </w:r>
    </w:p>
    <w:p>
      <w:pPr>
        <w:ind w:left="420"/>
      </w:pPr>
      <w:r>
        <w:t xml:space="preserve">1. deren Arbeitgeber tarifvertraglich gebunden sind oder</w:t>
      </w:r>
    </w:p>
    <w:p>
      <w:pPr>
        <w:ind w:left="420"/>
      </w:pPr>
      <w:r>
        <w:t xml:space="preserve">2. die bei Arbeitgebern mit Sitz im Ausland beschäftigt sind.</w:t>
      </w:r>
    </w:p>
    <w:p>
      <w:r>
        <w:t xml:space="preserve">(2) Die für die Anwendung des TV Mindestlohn maßgebliche Fassung des RTV ist die aus der Anlage 2 ersichtliche Fassung.</w:t>
      </w:r>
    </w:p>
    <w:p>
      <w:r>
        <w:rPr>
          <w:color w:val="555555"/>
          <w:sz w:val="17"/>
        </w:rPr>
        <w:t xml:space="preserve">Zitiervorschlag: § 2 DachdArbbV 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https://recht.nulegal.eu/gesetze/DachdArbbV%2011/2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