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DachAusbV — Inhalt</w:t>
      </w:r>
    </w:p>
    <w:p>
      <w:r>
        <w:rPr>
          <w:color w:val="555555"/>
          <w:sz w:val="18"/>
        </w:rPr>
        <w:t xml:space="preserve">Dachdeckerausbildungsverordnung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Gesellenprüfung erstreckt sich auf</w:t>
      </w:r>
    </w:p>
    <w:p>
      <w:pPr>
        <w:ind w:left="420"/>
      </w:pPr>
      <w:r>
        <w:t xml:space="preserve">1. die im Ausbildungsrahmenplan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14 DachAusbV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https://recht.nulegal.eu/gesetze/DachAusbV/14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