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DaTraV 2020 — Antrag zur Datenverarbeitung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10.07.2020 bis 13.04.2025. Dies ist nicht die aktuelle Fassung.</w:t>
      </w:r>
    </w:p>
    <w:p>
      <w:r>
        <w:t xml:space="preserve">(1) Anträge an das Forschungsdatenzentrum auf Zugang zu den Daten sind über ein elektronisch bereitzustellendes Antragsverfahren einzureichen. In dem Antrag hat der Antragsteller anzugeben:</w:t>
      </w:r>
    </w:p>
    <w:p>
      <w:pPr>
        <w:ind w:left="420"/>
      </w:pPr>
      <w:r>
        <w:t xml:space="preserve">1. Name und Anschrift des Nutzungsberechtigten,</w:t>
      </w:r>
    </w:p>
    <w:p>
      <w:pPr>
        <w:ind w:left="420"/>
      </w:pPr>
      <w:r>
        <w:t xml:space="preserve">2. den Zweck der Datenverarbeitung (Nutzungszweck),</w:t>
      </w:r>
    </w:p>
    <w:p>
      <w:pPr>
        <w:ind w:left="420"/>
      </w:pPr>
      <w:r>
        <w:t xml:space="preserve">3. den methodischen Ansatz der Datenverarbeitung,</w:t>
      </w:r>
    </w:p>
    <w:p>
      <w:pPr>
        <w:ind w:left="420"/>
      </w:pPr>
      <w:r>
        <w:t xml:space="preserve">4. den Umfang und die Struktur der beantragten Daten sowie eine nachvollziehbare Darlegung, dass Umfang und Struktur der beantragten Daten geeignet und erforderlich sind, um die zu untersuchende Frage zu beantworten,</w:t>
      </w:r>
    </w:p>
    <w:p>
      <w:pPr>
        <w:ind w:left="420"/>
      </w:pPr>
      <w:r>
        <w:t xml:space="preserve">5. die an der Datenverarbeitung beteiligten Personen,</w:t>
      </w:r>
    </w:p>
    <w:p>
      <w:pPr>
        <w:ind w:left="420"/>
      </w:pPr>
      <w:r>
        <w:t xml:space="preserve">6. ob eine Zusammenführung der beantragten Daten mit anderen Datenbeständen vorgesehen ist.</w:t>
      </w:r>
    </w:p>
    <w:p>
      <w:r>
        <w:t xml:space="preserve">(2) Wenn der Antragsteller eine krankenkassenbezogene Aufbereitung der Daten beantragt, hat er dem Antrag die Einwilligung der betroffenen Krankenkassen beizufügen.</w:t>
      </w:r>
    </w:p>
    <w:p>
      <w:r>
        <w:t xml:space="preserve">(3) Der Antragsteller verpflichtet sich,</w:t>
      </w:r>
    </w:p>
    <w:p>
      <w:pPr>
        <w:ind w:left="420"/>
      </w:pPr>
      <w:r>
        <w:t xml:space="preserve">1. bei der Datenverarbeitung darauf zu achten, keinen Bezug zu Personen, Leistungserbringern oder Leistungsträgern herzustellen,</w:t>
      </w:r>
    </w:p>
    <w:p>
      <w:pPr>
        <w:ind w:left="420"/>
      </w:pPr>
      <w:r>
        <w:t xml:space="preserve">2. geeignete technische und organisatorische Maßnahmen umzusetzen, die eine bestimmungsgemäße Datenverarbeitung gewährleisten und die Rechte der betroffenen Personen wahren und</w:t>
      </w:r>
    </w:p>
    <w:p>
      <w:pPr>
        <w:ind w:left="420"/>
      </w:pPr>
      <w:r>
        <w:t xml:space="preserve">3. die Daten nur für die Zwecke zu nutzen, für die sie zugänglich gemacht wurden.</w:t>
      </w:r>
    </w:p>
    <w:p>
      <w:r>
        <w:t xml:space="preserve">(4) Das Forschungsdatenzentrum kann zur Optimierung der Abläufe die Reihenfolge der Antragsbearbeitung nach objektiven Kriterien festlegen. Die Kriterien werden spätestens bis zum 31. Dezember 2023 auf der Internetseite des Forschungsdatenzentrums veröffentlicht.</w:t>
      </w:r>
    </w:p>
    <w:p>
      <w:r>
        <w:rPr>
          <w:color w:val="555555"/>
          <w:sz w:val="17"/>
        </w:rPr>
        <w:t xml:space="preserve">Zitiervorschlag: § 7 DaTraV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https://recht.nulegal.eu/gesetze/DaTraV%202020/7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