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DaTraV 2020 — Verfahren in der Vertrauensstelle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10.07.2020 bis 13.04.2025. Dies ist nicht die aktuelle Fassung.</w:t>
      </w:r>
    </w:p>
    <w:p>
      <w:r>
        <w:t xml:space="preserve">(1) Die Vertrauensstelle überführt die ihr vom Spitzenverband Bund der Krankenkassen übermittelten Lieferpseudonyme in permanente periodenübergreifende Pseudonyme nach § 5 Absatz 2.</w:t>
      </w:r>
    </w:p>
    <w:p>
      <w:r>
        <w:t xml:space="preserve">(2) Die Vertrauensstelle prüft, ob die Überführung in periodenübergreifende Pseudonyme fehlerfrei verlaufen ist, und übermittelt dem Forschungsdatenzentrum über ein sicheres Übermittlungsverfahren die Liste der periodenübergreifenden Pseudonyme nach Absatz 1 mit den dazugehörigen Arbeitsnummern. Danach sind die den periodenübergreifenden Pseudonymen zugrundeliegenden Lieferpseudonyme und Arbeitsnummern sowie die periodenübergreifenden Pseudonyme bei der Vertrauensstelle zu löschen.</w:t>
      </w:r>
    </w:p>
    <w:p>
      <w:r>
        <w:rPr>
          <w:color w:val="555555"/>
          <w:sz w:val="17"/>
        </w:rPr>
        <w:t xml:space="preserve">Zitiervorschlag: § 6 DaTraV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https://recht.nulegal.eu/gesetze/DaTraV%202020/6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