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DaTraV 2020 — Verfahren der Pseudonymisierung</w:t>
      </w:r>
    </w:p>
    <w:p>
      <w:r>
        <w:rPr>
          <w:color w:val="555555"/>
          <w:sz w:val="18"/>
        </w:rPr>
        <w:t xml:space="preserve">Datentransparenzverordnung</w:t>
      </w:r>
    </w:p>
    <w:p>
      <w:r>
        <w:rPr>
          <w:color w:val="555555"/>
          <w:sz w:val="18"/>
        </w:rPr>
        <w:t xml:space="preserve">Historische Fassung: Stand 10.07.2020 bis 13.04.2025. Dies ist nicht die aktuelle Fassung.</w:t>
      </w:r>
    </w:p>
    <w:p>
      <w:r>
        <w:t xml:space="preserve">(1) Für die Pseudonymisierung der Angaben zu den Leistungserbringern nach § 303b Absatz 3 Satz 2 des Fünften Buches Sozialgesetzbuch wählt der Spitzenverband Bund der Krankenkassen ein Verfahren nach dem Stand der Technik, bei dem die den Leistungserbringer identifizierenden Ziffern der Betriebsstättennummer, der lebenslangen Arztnummer und des Institutionskennzeichens durch jeweils ein dauerhaftes Pseudonym ersetzt wird. Die aus den übrigen Ziffern ableitbaren Informationen zu den jeweiligen Leistungserbringern sind im Datensatz gesondert aufzuführen. Dies betrifft bei der Betriebsstättennummer die regionale Zuordnung in Form des Landes- oder Bezirksstellenschlüssels der Kassenärztlichen Vereinigung, bei der lebenslangen Arztnummer die Facharztbezeichnung und beim Institutskennzeichen die Art der Einrichtung oder die Personengruppe sowie die regionale Zuordnung durch Kennzeichnung des Bundeslandes. Das Verfahren der Pseudonymisierung ist regelmäßig auf die Einhaltung des Standes der Technik zu überprüfen.</w:t>
      </w:r>
    </w:p>
    <w:p>
      <w:r>
        <w:t xml:space="preserve">(2) Für die Erzeugung des Lieferpseudonyms und des daraus abgeleiteten periodenübergreifenden Pseudonyms nach § 303c Absatz 1 des Fünften Buches Sozialgesetzbuch bestimmt die Vertrauensstelle bis zum 1. Juli 2021 schlüsselabhängige Verfahren, die sicherstellen, dass einem Versicherten bundesweit eindeutig und unabhängig von seiner Kassenzugehörigkeit jeweils dasselbe periodenübergreifende Pseudonym zugeordnet wird und die Daten jedes Versicherten für alle Leistungsbereiche über die im Forschungsdatenzentrum vorliegenden Berichtszeiträume hinweg verknüpfbar bleiben. Das Lieferpseudonym ist je Berichtsjahr zu wechseln. Das anzuwendende Verfahren zur Erzeugung und Überführung der Pseudonyme bestimmt die Vertrauensstelle im Einvernehmen mit dem Bundesamt für Sicherheit in der Informationstechnik und der oder dem Bundesbeauftragten für den Datenschutz und die Informationsfreiheit.</w:t>
      </w:r>
    </w:p>
    <w:p>
      <w:r>
        <w:rPr>
          <w:color w:val="555555"/>
          <w:sz w:val="17"/>
        </w:rPr>
        <w:t xml:space="preserve">Zitiervorschlag: § 5 DaTraV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https://recht.nulegal.eu/gesetze/DaTraV%202020/5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