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DaTraGebV</w:t>
      </w:r>
    </w:p>
    <w:p>
      <w:r>
        <w:rPr>
          <w:color w:val="555555"/>
          <w:sz w:val="18"/>
        </w:rPr>
        <w:t xml:space="preserve">Datentransparenz-Gebührenverordnung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303e Absatz 2 Satz 4 des Fünften Buches Sozialgesetzbuch – Gesetzliche Krankenversicherung –, der durch Artikel 3 Nummer 12 Buchstabe b des Gesetzes vom 7. August 2013 (BGBl. I S. 3108) geändert worden ist, verordnet das Bundesministerium für Gesundheit:</w:t>
      </w:r>
    </w:p>
    <w:p>
      <w:r>
        <w:rPr>
          <w:color w:val="555555"/>
          <w:sz w:val="17"/>
        </w:rPr>
        <w:t xml:space="preserve">Zitiervorschlag: Eingangsformel DaTraGebV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https://recht.nulegal.eu/gesetze/DaTraGebV/eingangsformel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