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DaTraGebV — Erstattung von Auslagen</w:t>
      </w:r>
    </w:p>
    <w:p>
      <w:r>
        <w:rPr>
          <w:color w:val="555555"/>
          <w:sz w:val="18"/>
        </w:rPr>
        <w:t xml:space="preserve">Datentransparenz-Gebührenverordnung</w:t>
      </w:r>
    </w:p>
    <w:p>
      <w:r>
        <w:rPr>
          <w:color w:val="555555"/>
          <w:sz w:val="18"/>
        </w:rPr>
        <w:t xml:space="preserve">Stand: 10.07.2020 (konsolidierte Textfassung, kein amtliches Inkrafttretensdatum)</w:t>
      </w:r>
    </w:p>
    <w:p>
      <w:r>
        <w:t xml:space="preserve">Das Forschungsdatenzentrum verlangt die Erstattung von Auslagen, die nicht bereits in die Zusatzgebühren nach § 6 und die Gebühr nach § 7 Absatz 2 einbezogen sind, in Höhe der tatsächlich entstandenen Kosten. Es informiert die Antragsteller im Vorfeld über die Art und die Höhe der erstattungspflichtigen Auslagen. Darunter fallen auch solche Auslagen, die im Zusammenhang mit der erneuten Bereitstellung von Auswertungsergebnissen entstehen.</w:t>
      </w:r>
    </w:p>
    <w:p>
      <w:r>
        <w:rPr>
          <w:color w:val="555555"/>
          <w:sz w:val="17"/>
        </w:rPr>
        <w:t xml:space="preserve">Zitiervorschlag: § 9 DaTraGebV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https://recht.nulegal.eu/gesetze/DaTraGebV/9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