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DaTraGebV — Höhe der Gebühr bei Rücknahme des Antrags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10.07.2020 (konsolidierte Textfassung, kein amtliches Inkrafttretensdatum)</w:t>
      </w:r>
    </w:p>
    <w:p>
      <w:r>
        <w:t xml:space="preserve">(1) Wird ein Antrag zurückgenommen, bevor das Forschungsdatenzentrum mit den Arbeiten für die Datenauswertung und Datenbereitstellung begonnen hat, beträgt die Gebühr die Hälfte der Grundgebühr nach § 5. Keine Gebühr ist zu erheben, wenn das Forschungsdatenzentrum mit der sachlichen Bearbeitung des Antrags noch nicht begonnen hat.</w:t>
      </w:r>
    </w:p>
    <w:p>
      <w:r>
        <w:t xml:space="preserve">(2) Wird ein Antrag zurückgenommen, nachdem das Forschungsdatenzentrum mit den Arbeiten für die Datenauswertung und Datenbereitstellung bereits begonnen hat, beträgt die Gebühr die Summe aus der Grundgebühr nach § 5 und der Hälfte der jeweiligen nach § 6 vorgesehenen Zusatzgebühr.</w:t>
      </w:r>
    </w:p>
    <w:p>
      <w:r>
        <w:rPr>
          <w:color w:val="555555"/>
          <w:sz w:val="17"/>
        </w:rPr>
        <w:t xml:space="preserve">Zitiervorschlag: § 8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