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DaTraGebV — Höhe der Gebühr für Beratung, Erstellung vorläufiger Auswertungen und Zwischenergebnisse</w:t>
      </w:r>
    </w:p>
    <w:p>
      <w:r>
        <w:rPr>
          <w:color w:val="555555"/>
          <w:sz w:val="18"/>
        </w:rPr>
        <w:t xml:space="preserve">Datentransparenz-Gebührenverordnung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Für jede Beratung, jede Erstellung vorläufiger Auswertungen und für Zwischenergebnisse wird abhängig von Umfang und Komplexität der Anfrage und der damit verbundenen Inanspruchnahme von Personal- und Sachleistungen eine Gebühr von 100 bis 3 000 Euro berechnet.</w:t>
      </w:r>
    </w:p>
    <w:p>
      <w:r>
        <w:rPr>
          <w:color w:val="555555"/>
          <w:sz w:val="17"/>
        </w:rPr>
        <w:t xml:space="preserve">Zitiervorschlag: § 7 DaTraGebV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https://recht.nulegal.eu/gesetze/DaTraGebV/7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