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DaTraGebV — Gebührenschuldner</w:t>
      </w:r>
    </w:p>
    <w:p>
      <w:r>
        <w:rPr>
          <w:color w:val="555555"/>
          <w:sz w:val="18"/>
        </w:rPr>
        <w:t xml:space="preserve">Datentransparenz-Gebührenverordnung</w:t>
      </w:r>
    </w:p>
    <w:p>
      <w:r>
        <w:rPr>
          <w:color w:val="555555"/>
          <w:sz w:val="18"/>
        </w:rPr>
        <w:t xml:space="preserve">Stand: 10.07.2020 (konsolidierte Textfassung, kein amtliches Inkrafttretensdatum)</w:t>
      </w:r>
    </w:p>
    <w:p>
      <w:r>
        <w:t xml:space="preserve">(1) Zur Zahlung der Gebühren und zur Erstattung der Auslagen ist verpflichtet,</w:t>
      </w:r>
    </w:p>
    <w:p>
      <w:pPr>
        <w:ind w:left="420"/>
      </w:pPr>
      <w:r>
        <w:t xml:space="preserve">1. wer die gebührenpflichtige Leistung durch einen Antrag auf Datenverarbeitung veranlasst,</w:t>
      </w:r>
    </w:p>
    <w:p>
      <w:pPr>
        <w:ind w:left="420"/>
      </w:pPr>
      <w:r>
        <w:t xml:space="preserve">2. wer die Gebührenschuld eines anderen übernommen hat oder</w:t>
      </w:r>
    </w:p>
    <w:p>
      <w:pPr>
        <w:ind w:left="420"/>
      </w:pPr>
      <w:r>
        <w:t xml:space="preserve">3. wer für die Gebührenschuld eines anderen kraft Gesetzes haftet.</w:t>
      </w:r>
    </w:p>
    <w:p>
      <w:r>
        <w:t xml:space="preserve">(2) Wer die Gebührenschuld eines anderen übernimmt, hat dem Forschungsdatenzentrum dies schriftlich oder elektronisch mitzuteilen.</w:t>
      </w:r>
    </w:p>
    <w:p>
      <w:r>
        <w:t xml:space="preserve">(3) Mehrere Gebührenschuldner haften als Gesamtschuldner.</w:t>
      </w:r>
    </w:p>
    <w:p>
      <w:r>
        <w:rPr>
          <w:color w:val="555555"/>
          <w:sz w:val="17"/>
        </w:rPr>
        <w:t xml:space="preserve">Zitiervorschlag: § 3 DaTraGebV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https://recht.nulegal.eu/gesetze/DaTraGebV/3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