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DaTraGebV — Entstehung der Gebührenschuld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Gebührenschuld für eine individuell zurechenbare öffentliche Leistung nach § 1 sowie die Verpflichtung zur Erstattung von Auslagen nach § 9 entsteht mit Bekanntgabe des Bescheides über den Antrag.</w:t>
      </w:r>
    </w:p>
    <w:p>
      <w:r>
        <w:t xml:space="preserve">(2) Wird ein Antrag zurückgenommen, entsteht die Gebührenschuld für eine individuell zurechenbare öffentliche Leistung nach § 1 mit der Zurücknahme des Antrags.</w:t>
      </w:r>
    </w:p>
    <w:p>
      <w:r>
        <w:rPr>
          <w:color w:val="555555"/>
          <w:sz w:val="17"/>
        </w:rPr>
        <w:t xml:space="preserve">Zitiervorschlag: § 2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