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DaTraGebV — Inkrafttreten</w:t>
      </w:r>
    </w:p>
    <w:p>
      <w:r>
        <w:rPr>
          <w:color w:val="555555"/>
          <w:sz w:val="18"/>
        </w:rPr>
        <w:t xml:space="preserve">Datentransparenz-Gebührenverordnung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13 DaTraGebV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https://recht.nulegal.eu/gesetze/DaTraGebV/13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