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DaTraGebV — Anwendung des Bundesgebührengesetzes</w:t>
      </w:r>
    </w:p>
    <w:p>
      <w:r>
        <w:rPr>
          <w:color w:val="555555"/>
          <w:sz w:val="18"/>
        </w:rPr>
        <w:t xml:space="preserve">Datentransparenz-Gebührenverordnung</w:t>
      </w:r>
    </w:p>
    <w:p>
      <w:r>
        <w:rPr>
          <w:color w:val="555555"/>
          <w:sz w:val="18"/>
        </w:rPr>
        <w:t xml:space="preserve">Stand: 10.07.2020 (konsolidierte Textfassung, kein amtliches Inkrafttretensdatum)</w:t>
      </w:r>
    </w:p>
    <w:p>
      <w:r>
        <w:t xml:space="preserve">§ 13 Absatz 3 sowie die §§ 14, 16 bis 19 und 21 des Bundesgebührengesetzes vom 7. August 2013 (BGBl. I S. 3154) zur Fälligkeit, zum Säumniszuschlag, zur Stundung, zur Niederschlagung, zum Erlass, zur Verjährung und zur Erstattung sind entsprechend anzuwenden.</w:t>
      </w:r>
    </w:p>
    <w:p>
      <w:r>
        <w:rPr>
          <w:color w:val="555555"/>
          <w:sz w:val="17"/>
        </w:rPr>
        <w:t xml:space="preserve">Zitiervorschlag: § 12 DaTraGebV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https://recht.nulegal.eu/gesetze/DaTraGebV/12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