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DaHeSchnMstrV</w:t>
      </w:r>
    </w:p>
    <w:p>
      <w:r>
        <w:rPr>
          <w:color w:val="555555"/>
          <w:sz w:val="18"/>
        </w:rPr>
        <w:t xml:space="preserve">Damen- und Herrenschneidermeisterverordnung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51a Abs. 2 in Verbindung mit Abs. 1 der Handwerksordnung in der Fassung der Bekanntmachung vom 24. September 1998 (BGBl. I S. 3074), der durch Artikel 2 Nr. 24 des Gesetzes vom 23. März 2005 (BGBl. I S. 931) geändert worden ist, in Verbindung mit § 1 Abs. 2 des Zuständigkeitsanpassungsgesetzes vom 16. August 2002 (BGBl. I S. 3165) und dem Organisationserlass vom 22. November 2005 (BGBl. I S. 3197)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DaHeSchnMstrV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https://recht.nulegal.eu/gesetze/DaHeSchnMstrV/eingangsformel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