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DaHeSchnMstrV — Meisterprüfungsprojekt</w:t>
      </w:r>
    </w:p>
    <w:p>
      <w:r>
        <w:rPr>
          <w:color w:val="555555"/>
          <w:sz w:val="18"/>
        </w:rPr>
        <w:t xml:space="preserve">Damen- und Herrenschneidermeisterverordnung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w:t>
      </w:r>
    </w:p>
    <w:p>
      <w:pPr>
        <w:ind w:left="420"/>
      </w:pPr>
      <w:r>
        <w:t xml:space="preserve">1. ein mehrteiliges Damen-Modell mit mindestens einem Großstück oder</w:t>
      </w:r>
    </w:p>
    <w:p>
      <w:pPr>
        <w:ind w:left="420"/>
      </w:pPr>
      <w:r>
        <w:t xml:space="preserve">2. ein mehrteiliges Herren-Modell mit mindestens einem Großstück</w:t>
      </w:r>
    </w:p>
    <w:p>
      <w:r>
        <w:t xml:space="preserve">anzufertigen. Die durchzuführenden Arbeiten umfassen das Entwerfen, Planen, Kalkulieren und Maßanfertigen, die Durchführung der Fertigprobe und die Prüfung der Arbeitsergebnisse sowie die Dokumentation der durchgeführten Arbeiten und die Nachkalkulation.</w:t>
      </w:r>
    </w:p>
    <w:p>
      <w:r>
        <w:t xml:space="preserve">(4) Die Entwurfs-, Planungs- und Kalkulationsunterlagen werden mit 30 vom Hundert, die durchgeführten Arbeiten mit 50 vom Hundert und die Dokumentationsunterlagen mit 20 vom Hundert gewichtet. Die Dokumentationsunterlagen umfassen auch die Beurteilung der Fertigprobe und die Nachkalkulation.</w:t>
      </w:r>
    </w:p>
    <w:p>
      <w:r>
        <w:rPr>
          <w:color w:val="555555"/>
          <w:sz w:val="17"/>
        </w:rPr>
        <w:t xml:space="preserve">Zitiervorschlag: § 4 DaHeSchnMstrV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https://recht.nulegal.eu/gesetze/DaHeSchnMstrV/4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