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DaHeSchnMstrV — Gliederung des Teils I</w:t>
      </w:r>
    </w:p>
    <w:p>
      <w:r>
        <w:rPr>
          <w:color w:val="555555"/>
          <w:sz w:val="18"/>
        </w:rPr>
        <w:t xml:space="preserve">Damen- und Herrenschneidermeisterverordnung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DaHeSchnMstrV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https://recht.nulegal.eu/gesetze/DaHeSchnMstrV/3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