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DaHeSchnMstrV — Inkrafttreten, Außerkrafttreten</w:t>
      </w:r>
    </w:p>
    <w:p>
      <w:r>
        <w:rPr>
          <w:color w:val="555555"/>
          <w:sz w:val="18"/>
        </w:rPr>
        <w:t xml:space="preserve">Damen- und Herrenschneidermeisterverordnung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2007 in Kraft.</w:t>
      </w:r>
    </w:p>
    <w:p>
      <w:r>
        <w:rPr>
          <w:color w:val="555555"/>
          <w:sz w:val="17"/>
        </w:rPr>
        <w:t xml:space="preserve">Zitiervorschlag: § 11 DaHeSchnMstrV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https://recht.nulegal.eu/gesetze/DaHeSchnMstrV/11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