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DZInVeKoSVO NRW (Nordrhein-Westfalen) — Ökoregelung Altgrasstreifen oder -flächen</w:t>
      </w:r>
    </w:p>
    <w:p>
      <w:r>
        <w:rPr>
          <w:color w:val="555555"/>
          <w:sz w:val="18"/>
        </w:rPr>
        <w:t xml:space="preserve">Direktzahlungen-InVeKoS-Verordnung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der Unterstützung nach § 18 des GAP-Direktzahlungen-Gesetzes sind bei der Öko-Regelung nach § 20 Absatz 1 Nummer 1 Buchstabe d des GAP-Direktzahlungen-Gesetzes die Flächen mit Dauergrünland unter etablierten lokalen Praktiken (Heideflächen, Nutzartcode 492) ausgenommen.</w:t>
      </w:r>
    </w:p>
    <w:p>
      <w:r>
        <w:rPr>
          <w:color w:val="555555"/>
          <w:sz w:val="17"/>
        </w:rPr>
        <w:t xml:space="preserve">Zitiervorschlag: § 2 DZInVeKoSVO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https://recht.nulegal.eu/gesetze/DZInVeKoSVO%20NRW/2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