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DWVO (Nordrhein-Westfalen) — Ende des Dienstwohnungsverhältnisses</w:t>
      </w:r>
    </w:p>
    <w:p>
      <w:r>
        <w:rPr>
          <w:color w:val="555555"/>
          <w:sz w:val="18"/>
        </w:rPr>
        <w:t xml:space="preserve">Dienstwohnungsverordnung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Dienstwohnungsverhältnis endet mit der Zurruhesetzung, dem Ausscheiden aus dem Beamtenverhältnis, der Beurlaubung sowie der Aufhebung oder dem Erlöschen der Zuweisung.</w:t>
      </w:r>
    </w:p>
    <w:p>
      <w:r>
        <w:t xml:space="preserve">(2) Wird die Wohnung nach dem Ende des Dienstwohnungsverhältnisses weiter genutzt, ist ab dem Beginn des vierten Kalendermonats ein Nutzungsentgelt in ortsüblicher Höhe (§ 4 Absatz 1) zuzüglich der Betriebskosten (§ 9) zu zahlen.</w:t>
      </w:r>
    </w:p>
    <w:p>
      <w:r>
        <w:rPr>
          <w:color w:val="555555"/>
          <w:sz w:val="17"/>
        </w:rPr>
        <w:t xml:space="preserve">Zitiervorschlag: § 13 DWVO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https://recht.nulegal.eu/gesetze/DWVO/13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