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DWVO (Nordrhein-Westfalen) — Anrechnung der Dienstwohnungsvergütung und der Betriebskosten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Dienstwohnungsvergütung, die Betriebskosten und die sonstigen Entgelte sind in monatlichen Teilbeträgen von den Dienstbezügen einzubehalten.</w:t>
      </w:r>
    </w:p>
    <w:p>
      <w:r>
        <w:t xml:space="preserve">(2) Können monatliche Teilbeträge nicht einbehalten werden, weil kein Anspruch auf Dienstbezüge besteht, sind von der Dienstwohnungsinhaberin oder dem Dienstwohnungsinhaber monatliche Beträge in gleicher Höhe zu zahlen.</w:t>
      </w:r>
    </w:p>
    <w:p>
      <w:r>
        <w:rPr>
          <w:color w:val="555555"/>
          <w:sz w:val="17"/>
        </w:rPr>
        <w:t xml:space="preserve">Zitiervorschlag: § 12 DWVO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https://recht.nulegal.eu/gesetze/DWVO/12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