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DWV (Bayern) — Anrechnung des Sachbezugswerts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Sachbezugswert ist in monatlichen Teilbeträgen von den Bezügen einzubehalten.</w:t>
      </w:r>
    </w:p>
    <w:p>
      <w:r>
        <w:t xml:space="preserve">(2) Besteht kein Anspruch auf Bezüge, sind monatliche Beträge in gleicher Höhe zu leisten. § 11 Abs. 2 Satz 1 und Abs. 3 gelten entsprechend.</w:t>
      </w:r>
    </w:p>
    <w:p>
      <w:r>
        <w:t xml:space="preserve">(3) Entsprechendes gilt für die Schlußzahlung der Betriebskosten.</w:t>
      </w:r>
    </w:p>
    <w:p>
      <w:r>
        <w:rPr>
          <w:color w:val="555555"/>
          <w:sz w:val="17"/>
        </w:rPr>
        <w:t xml:space="preserve">Zitiervorschlag: § 9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