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DWV (Bayern) — Beginn des Dienstwohnungsverhältnisses</w:t>
      </w:r>
    </w:p>
    <w:p>
      <w:r>
        <w:rPr>
          <w:color w:val="555555"/>
          <w:sz w:val="18"/>
        </w:rPr>
        <w:t xml:space="preserve">Dienstwohnungsverordnung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Dienstwohnungsverhältnis beginnt mit dem in der Zuweisung geregelten Zeitpunkt. Die Festsetzungsbehörde erhält eine Ausfertigung der Zuweisung.</w:t>
      </w:r>
    </w:p>
    <w:p>
      <w:r>
        <w:t xml:space="preserve">(2) Ein Anspruch auf eine Dienstwohnung oder auf deren dauerhafte Überlassung besteht nicht.</w:t>
      </w:r>
    </w:p>
    <w:p>
      <w:r>
        <w:rPr>
          <w:color w:val="555555"/>
          <w:sz w:val="17"/>
        </w:rPr>
        <w:t xml:space="preserve">Zitiervorschlag: § 4 DWV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