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DWV (Bayern) — Zuständige Behörden</w:t>
      </w:r>
    </w:p>
    <w:p>
      <w:r>
        <w:rPr>
          <w:color w:val="555555"/>
          <w:sz w:val="18"/>
        </w:rPr>
        <w:t xml:space="preserve">Dienstwohnungsverordnung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Für die Aufsicht über Dienstwohnungen sowie die sonstigen Angelegenheiten aus dem Vollzug dieser Verordnung ist die Grundbesitz bewirtschaftende Dienststelle gemäß Art. 2 Abs. 1 Satz 2 des IMBY-Gesetzes zuständig, soweit nichts anderes bestimmt ist. Dies gilt auch für Dienstwohnungen, die der Freistaat Bayern von Dritten angemietet hat.</w:t>
      </w:r>
    </w:p>
    <w:p>
      <w:r>
        <w:t xml:space="preserve">(2) Die Festsetzung des Sachbezugswerts gegenüber den Dienstwohnungsinhabern obliegt dem Staatsbetrieb Immobilien Freistaat Bayern (Festsetzungsbehörde). Die Abrechnung der Sachbezüge obliegt der nach Art. 14 des Bayerischen Besoldungsgesetzes (BayBesG) zuständigen Stelle (Abrechnungsstelle).</w:t>
      </w:r>
    </w:p>
    <w:p>
      <w:r>
        <w:rPr>
          <w:color w:val="555555"/>
          <w:sz w:val="17"/>
        </w:rPr>
        <w:t xml:space="preserve">Zitiervorschlag: § 3 DWV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https://recht.nulegal.eu/gesetze/DWV/3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