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DWV (Bayern) — Überprüfung der Dienstwohnungsvergütung</w:t>
      </w:r>
    </w:p>
    <w:p>
      <w:r>
        <w:rPr>
          <w:color w:val="555555"/>
          <w:sz w:val="18"/>
        </w:rPr>
        <w:t xml:space="preserve">Dienstwohnungsverordnung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Treten Umstände ein, die zu einer Änderung des Mietwerts führen können, so ist dieser unverzüglich zu überprüfen und erforderlichenfalls neu festzustellen. Die Überprüfung des örtlichen Mietniveaus ist spätestens alle drei Jahre nach der letzten Feststellung vorzunehmen.</w:t>
      </w:r>
    </w:p>
    <w:p>
      <w:r>
        <w:t xml:space="preserve">(2) Von einer Neufestsetzung der Dienstwohnungsvergütung ist abzusehen, wenn sie um weniger als fünf Euro vom bisherigen Wert abweichen würde. Dies gilt nicht für die höchste Dienstwohnungsvergütung.</w:t>
      </w:r>
    </w:p>
    <w:p>
      <w:r>
        <w:rPr>
          <w:color w:val="555555"/>
          <w:sz w:val="17"/>
        </w:rPr>
        <w:t xml:space="preserve">Zitiervorschlag: § 13 DWV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