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DWV (Bayern) — Ende des Dienstwohnungsverhältnisses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Dienstwohnungsverhältnis endet mit der Pensionierung, dem Ausscheiden aus dem Beamtenverhältnis, der Beurlaubung sowie der Aufhebung oder dem Erlöschen der Zuweisung. Die Festsetzungsbehörde ist hiervon unverzüglich in Kenntnis zu setzen.</w:t>
      </w:r>
    </w:p>
    <w:p>
      <w:r>
        <w:t xml:space="preserve">(2) Wird die Wohnung nach dem Ende des Dienstwohnungsverhältnisses unberechtigt weiter genutzt, ist ein Nutzungsentgelt in Höhe des Sachbezugswerts zu entrichten. Ab dem Beginn des vierten Kalendermonats entfällt die Anwendung von § 6 Abs. 3, § 7 Abs. 7 und § 8 Abs. 3 auf das Nutzungsentgelt.</w:t>
      </w:r>
    </w:p>
    <w:p>
      <w:r>
        <w:t xml:space="preserve">(3) Das Nutzungsentgelt wird durch die Festsetzungsbehörde mit Bescheid festgesetzt. Die Geltendmachung weiterer Ansprüche aus Anlass der unberechtigten Nutzung bleibt unberührt.</w:t>
      </w:r>
    </w:p>
    <w:p>
      <w:r>
        <w:rPr>
          <w:color w:val="555555"/>
          <w:sz w:val="17"/>
        </w:rPr>
        <w:t xml:space="preserve">Zitiervorschlag: § 11 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