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DWG — Vermögen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 dem Zuschuss des Bundes nach § 45 beschafften Gegenstände gehören zum Vermögen der Deutschen Welle. Sie sind uneingeschränkt für Rundfunkzwecke zu nutzen.</w:t>
      </w:r>
    </w:p>
    <w:p>
      <w:r>
        <w:t xml:space="preserve">(2) Absatz 1 Satz 1 gilt nicht für Grundstücke, Gebäude und sonstige bauliche Anlagen, soweit diese der Deutschen Welle vom Bund unentgeltlich überlassen sind.</w:t>
      </w:r>
    </w:p>
    <w:p>
      <w:r>
        <w:t xml:space="preserve">(3) Im Falle einer Auflösung der Deutschen Welle fällt ihr gesamtes Vermögen dem Bund mit der Maßgabe zu, dass es von diesem ausschließlich und unmittelbar für gemeinnützige Zwecke zu verwenden ist.</w:t>
      </w:r>
    </w:p>
    <w:p>
      <w:r>
        <w:rPr>
          <w:color w:val="555555"/>
          <w:sz w:val="17"/>
        </w:rPr>
        <w:t xml:space="preserve">Zitiervorschlag: § 58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