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DWG — Deckungsfähigkeit von Ausgaben</w:t>
      </w:r>
    </w:p>
    <w:p>
      <w:r>
        <w:rPr>
          <w:color w:val="555555"/>
          <w:sz w:val="18"/>
        </w:rPr>
        <w:t xml:space="preserve">Deutsche-Welle-Gesetz</w:t>
      </w:r>
    </w:p>
    <w:p>
      <w:r>
        <w:rPr>
          <w:color w:val="555555"/>
          <w:sz w:val="18"/>
        </w:rPr>
        <w:t xml:space="preserve">Stand: 10.06.2019 (konsolidierte Textfassung, kein amtliches Inkrafttretensdatum)</w:t>
      </w:r>
    </w:p>
    <w:p>
      <w:r>
        <w:t xml:space="preserve">(1) Ansätze können im Wirtschaftsplan oder in der Finanzordnung der Deutschen Welle nach Maßgabe der folgenden Absätze für deckungsfähig erklärt werden.</w:t>
      </w:r>
    </w:p>
    <w:p>
      <w:r>
        <w:t xml:space="preserve">(2) Die Ansätze des Erfolgsplans (§ 48 Abs. 2 Nr. 1) für Personalaufwendungen, Programmaufwendungen, Betriebsaufwendungen und Investitionen können jeweils als in sich gegenseitig deckungsfähig erklärt werden, soweit es sich um zahlungswirksame Vorgänge handelt. Das Gleiche gilt für die Personalausgaben, die sächlichen Verwaltungsausgaben und die Investitionen der Überleitungsrechnung (§ 48 Abs. 2 Nr. 3).</w:t>
      </w:r>
    </w:p>
    <w:p>
      <w:r>
        <w:t xml:space="preserve">(3) Die Ansätze des Erfolgsplans (§ 48 Abs. 2 Nr. 1) für Personalaufwendungen, Programmaufwendungen, Betriebsaufwendungen und Investitionen können jeweils bis zu 30 vom Hundert gegen Einsparung überschritten werden, soweit es sich um zahlungswirksame Vorgänge handelt. Das Gleiche gilt für die Personalausgaben, die sächlichen Verwaltungsausgaben und die Investitionen der Überleitungsrechnung (§ 48 Abs. 2 Nr. 3).</w:t>
      </w:r>
    </w:p>
    <w:p>
      <w:r>
        <w:rPr>
          <w:color w:val="555555"/>
          <w:sz w:val="17"/>
        </w:rPr>
        <w:t xml:space="preserve">Zitiervorschlag: § 50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