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DWG — Grundsätze der Wirtschaftsführung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Deutsche Welle ist in ihrer Wirtschaftsführung selbständig, soweit dieses Gesetz nichts anderes bestimmt oder zulässt.</w:t>
      </w:r>
    </w:p>
    <w:p>
      <w:r>
        <w:t xml:space="preserve">(2) Die Deutsche Welle hat ein kaufmännisches Rechnungswesen gemäß Handelsgesetzbuch zu führen.</w:t>
      </w:r>
    </w:p>
    <w:p>
      <w:r>
        <w:t xml:space="preserve">(3) Die Deutsche Welle gibt sich im Einvernehmen mit dem Bundesrechnungshof und im Benehmen mit der Bundesregierung eine Finanzordnung, die die Aufstellung und Ausführung des Wirtschaftsplans, die Kassen- und Buchführung sowie die Rechnungslegung der Deutschen Welle näher regelt.</w:t>
      </w:r>
    </w:p>
    <w:p>
      <w:r>
        <w:t xml:space="preserve">(4) Die Beschäftigten der Deutschen Welle dürfen grundsätzlich nicht besser gestellt werden als vergleichbare Arbeitnehmer des Bundes. Vor dem Abschluss von Tarifverträgen, die in Abweichung von Satz 1 die Beschäftigten der Deutschen Welle besser als vergleichbare Arbeitnehmer des Bundes stellen würden, ist das Einvernehmen mit der Bundesregierung herbeizuführen.</w:t>
      </w:r>
    </w:p>
    <w:p>
      <w:r>
        <w:t xml:space="preserve">(5) Die Vorschriften über steuerbegünstigte Zwecke - §§ 51 bis 68 der Abgabenordnung - sind entsprechend anzuwenden.</w:t>
      </w:r>
    </w:p>
    <w:p>
      <w:r>
        <w:rPr>
          <w:color w:val="555555"/>
          <w:sz w:val="17"/>
        </w:rPr>
        <w:t xml:space="preserve">Zitiervorschlag: § 46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