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DWG — Einnahmen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Deutsche Welle finanziert sich aus dem jährlichen Zuschuss sowie Zuwendungen des Bundes und sonstigen Einnahmen.</w:t>
      </w:r>
    </w:p>
    <w:p>
      <w:r>
        <w:t xml:space="preserve">(2) Die Höhe des Zuschusses des Bundes bestimmt sich nach dem Haushaltsgesetz des Bundes.</w:t>
      </w:r>
    </w:p>
    <w:p>
      <w:r>
        <w:t xml:space="preserve">(3) Die Aufgabenplanung der Deutschen Welle (§§ 4a, 4b) wird durch den vierjährigen Planungszeitraum, die mittelfristige Finanzplanung der Bundesregierung und die Entscheidungen des Haushaltsgesetzgebers sichergestellt.</w:t>
      </w:r>
    </w:p>
    <w:p>
      <w:r>
        <w:rPr>
          <w:color w:val="555555"/>
          <w:sz w:val="17"/>
        </w:rPr>
        <w:t xml:space="preserve">Zitiervorschlag: § 45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