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DWG — Ziele</w:t>
      </w:r>
    </w:p>
    <w:p>
      <w:r>
        <w:rPr>
          <w:color w:val="555555"/>
          <w:sz w:val="18"/>
        </w:rPr>
        <w:t xml:space="preserve">Deutsche-Welle-Gesetz</w:t>
      </w:r>
    </w:p>
    <w:p>
      <w:r>
        <w:rPr>
          <w:color w:val="555555"/>
          <w:sz w:val="18"/>
        </w:rPr>
        <w:t xml:space="preserve">Stand: 10.06.2019 (konsolidierte Textfassung, kein amtliches Inkrafttretensdatum)</w:t>
      </w:r>
    </w:p>
    <w:p>
      <w:r>
        <w:t xml:space="preserve">Die Angebote der Deutschen Welle sollen Deutschland als europäisch gewachsene Kulturnation und freiheitlich verfassten demokratischen Rechtsstaat verständlich machen. Sie sollen deutschen und anderen Sichtweisen zu wesentlichen Themen vor allem der Politik, Kultur und Wirtschaft sowohl in Europa wie in anderen Kontinenten ein Forum geben mit dem Ziel, das Verständnis und den Austausch der Kulturen und Völker zu fördern. Die Deutsche Welle fördert dabei insbesondere die deutsche Sprache.</w:t>
      </w:r>
    </w:p>
    <w:p>
      <w:r>
        <w:rPr>
          <w:color w:val="555555"/>
          <w:sz w:val="17"/>
        </w:rPr>
        <w:t xml:space="preserve">Zitiervorschlag: § 4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