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DWG — Ausschüsse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Rundfunkrat bildet aus der Mitte seiner Mitglieder je einen Programmausschuss für Hörfunk und Fernsehen; daneben kann er weitere Ausschüsse einrichten.</w:t>
      </w:r>
    </w:p>
    <w:p>
      <w:r>
        <w:t xml:space="preserve">(2) Die Ausschüsse bereiten die Beschlüsse des Rundfunkrates im jeweiligen Aufgabenbereich vor. Sie erstatten dem Rundfunkrat jährlich einen Bericht über ihre Tätigkeit.</w:t>
      </w:r>
    </w:p>
    <w:p>
      <w:r>
        <w:t xml:space="preserve">(3) Näheres regelt die Geschäftsordnung.</w:t>
      </w:r>
    </w:p>
    <w:p>
      <w:r>
        <w:rPr>
          <w:color w:val="555555"/>
          <w:sz w:val="17"/>
        </w:rPr>
        <w:t xml:space="preserve">Zitiervorschlag: § 35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