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DWG — Sitzungen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Rundfunkrat tritt mindestens alle drei Monate zu einer ordentlichen Sitzung zusammen. Auf Antrag von sechs Mitgliedern oder des Intendanten muss er zu einer außerordentlichen Sitzung zusammentreten.</w:t>
      </w:r>
    </w:p>
    <w:p>
      <w:r>
        <w:t xml:space="preserve">(2) Die Sitzungen des Rundfunkrates sind nicht öffentlich. Der Rundfunkrat kann beschließen, in öffentlicher Sitzung zu tagen.</w:t>
      </w:r>
    </w:p>
    <w:p>
      <w:r>
        <w:t xml:space="preserve">(3) Der Vorsitzende oder ein von ihm beauftragtes Mitglied des Verwaltungsrates und der Intendant nehmen an den Sitzungen des Rundfunkrates teil. Sie sind auf Wunsch zu hören.</w:t>
      </w:r>
    </w:p>
    <w:p>
      <w:r>
        <w:t xml:space="preserve">(4) Ein Mitglied der Personalvertretung nimmt an den Sitzungen des Rundfunkrates teil und kann zu Fragen, die nicht den Programmbereich betreffen, gehört werden.</w:t>
      </w:r>
    </w:p>
    <w:p>
      <w:r>
        <w:rPr>
          <w:color w:val="555555"/>
          <w:sz w:val="17"/>
        </w:rPr>
        <w:t xml:space="preserve">Zitiervorschlag: § 33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