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DWG — Unabhängigkeit</w:t>
      </w:r>
    </w:p>
    <w:p>
      <w:r>
        <w:rPr>
          <w:color w:val="555555"/>
          <w:sz w:val="18"/>
        </w:rPr>
        <w:t xml:space="preserve">Deutsche-Welle-Gesetz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Mitglieder der Gremien vertreten bei Wahrnehmung ihrer Aufgaben die Interessen der Allgemeinheit. Sie sind weder an Aufträge noch an Weisungen gebunden.</w:t>
      </w:r>
    </w:p>
    <w:p>
      <w:r>
        <w:t xml:space="preserve">(2) Die Mitglieder der Gremien dürfen an der Übernahme und Ausübung ihrer Tätigkeit nicht gehindert oder hierdurch in ihrem Dienst- oder Arbeitsverhältnis benachteiligt werden. Es ist auch unzulässig, sie aus Gründen der Gremienmitgliedschaft zu entlassen oder ihnen zu kündigen. Stehen sie in einem Dienst- oder Arbeitsverhältnis, so ist ihnen die für ihre Tätigkeit erforderliche Zeit zu gewähren.</w:t>
      </w:r>
    </w:p>
    <w:p>
      <w:r>
        <w:rPr>
          <w:color w:val="555555"/>
          <w:sz w:val="17"/>
        </w:rPr>
        <w:t xml:space="preserve">Zitiervorschlag: § 26 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