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DWG — Allgemeine Verantwortung</w:t>
      </w:r>
    </w:p>
    <w:p>
      <w:r>
        <w:rPr>
          <w:color w:val="555555"/>
          <w:sz w:val="18"/>
        </w:rPr>
        <w:t xml:space="preserve">Deutsche-Welle-Gesetz</w:t>
      </w:r>
    </w:p>
    <w:p>
      <w:r>
        <w:rPr>
          <w:color w:val="555555"/>
          <w:sz w:val="18"/>
        </w:rPr>
        <w:t xml:space="preserve">Stand: 10.06.2019 (konsolidierte Textfassung, kein amtliches Inkrafttretensdatum)</w:t>
      </w:r>
    </w:p>
    <w:p>
      <w:r>
        <w:t xml:space="preserve">(1) Wer die Sendung eines Beitrages veranlasst oder zugelassen hat, trägt für dessen Inhalt und Gestaltung nach Maßgabe der allgemeinen Gesetze und der besonderen Vorschriften dieses Gesetzes die Verantwortung. Verantwortlich ist auch, wer es unterlassen hat, in seinem Aufgabenkreis pflichtgemäß tätig zu werden.</w:t>
      </w:r>
    </w:p>
    <w:p>
      <w:r>
        <w:t xml:space="preserve">(2) Es wird vermutet, dass für die Sendung aller Beiträge der Intendant verantwortlich ist. Sofern und soweit für ihn ein Vertreter tätig war, gilt die Vermutung zu dessen Lasten. Die Sätze 1 und 2 finden in Straf- und Bußgeldsachen keine Anwendung.</w:t>
      </w:r>
    </w:p>
    <w:p>
      <w:r>
        <w:t xml:space="preserve">(3) Für Inhalt und Gestaltung der Sendungen, für die die Deutsche Welle nach den §§ 16 und 17 Sendezeiten eingeräumt hat, ist derjenige verantwortlich, dem die Sendezeit überlassen worden ist.</w:t>
      </w:r>
    </w:p>
    <w:p>
      <w:r>
        <w:t xml:space="preserve">(4) Die Verantwortlichkeit anderer Personen, insbesondere des Verfassers, Herstellers oder Gestalters eines Beitrages, bleibt unberührt.</w:t>
      </w:r>
    </w:p>
    <w:p>
      <w:r>
        <w:rPr>
          <w:color w:val="555555"/>
          <w:sz w:val="17"/>
        </w:rPr>
        <w:t xml:space="preserve">Zitiervorschlag: § 22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