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DWGÄndG — Übergangsregelung</w:t>
      </w:r>
    </w:p>
    <w:p>
      <w:r>
        <w:rPr>
          <w:color w:val="555555"/>
          <w:sz w:val="18"/>
        </w:rPr>
        <w:t xml:space="preserve">Gesetz zur Änderung des Deutsche-Welle-Gesetzes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 Welle erarbeitet ihre Aufgabenplanung nach dem Verfahren gemäß den §§ 4 bis 4b des Deutsche-Welle-Gesetzes erstmals für die Jahre 2006 bis 2009. Der Wirtschaftsplan mit Überleitungsrechnung, Stellenplan und Bewirtschaftungsgrundsätzen gemäß § 48 des Deutsche-Welle-Gesetzes wird von der Deutschen Welle erstmals für das Jahr 2006 erstellt. Der Jahresabschluss gemäß § 55 des Deutsche-Welle-Gesetzes ist von der Deutschen Welle erstmals für das Jahr 2004 zu erstellen.</w:t>
      </w:r>
    </w:p>
    <w:p>
      <w:r>
        <w:rPr>
          <w:color w:val="555555"/>
          <w:sz w:val="17"/>
        </w:rPr>
        <w:t xml:space="preserve">Zitiervorschlag: Art 2 DWGÄndG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https://recht.nulegal.eu/gesetze/DWG%C3%84ndG/2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