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DW-SVV — Inkrafttreten</w:t>
      </w:r>
    </w:p>
    <w:p>
      <w:r>
        <w:rPr>
          <w:color w:val="555555"/>
          <w:sz w:val="18"/>
        </w:rPr>
        <w:t xml:space="preserve">DW-Sitzverlegungsverordnung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2 DW-SVV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https://recht.nulegal.eu/gesetze/DW-SVV/2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