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DVWoR (Bayern) — Genehmigungsvorbehalt bei Umwandlung von Mietwohnungen in Eigentumswohnungen</w:t>
      </w:r>
    </w:p>
    <w:p>
      <w:r>
        <w:rPr>
          <w:color w:val="555555"/>
          <w:sz w:val="18"/>
        </w:rPr>
        <w:t xml:space="preserve">Durchführungsverordnung Wohnungsrecht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Grundstücke in Gebieten einer Erhaltungssatzung nach § 172 Abs. 1 Satz 1 Nr. 2 des Baugesetzbuchs darf Wohnungseigentum oder Teileigentum gemäß § 1 des Wohnungseigentumsgesetzes an Gebäuden, die ganz oder teilweise Wohnzwecken zu dienen bestimmt sind, nicht ohne Genehmigung durch die Gemeinde begründet werden.</w:t>
      </w:r>
    </w:p>
    <w:p>
      <w:r>
        <w:rPr>
          <w:color w:val="555555"/>
          <w:sz w:val="17"/>
        </w:rPr>
        <w:t xml:space="preserve">Zitiervorschlag: § 5 DVWoR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https://recht.nulegal.eu/gesetze/DVWoR/5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