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DVWoR (Bayern) — Zuständige Stellen</w:t>
      </w:r>
    </w:p>
    <w:p>
      <w:r>
        <w:rPr>
          <w:color w:val="555555"/>
          <w:sz w:val="18"/>
        </w:rPr>
        <w:t xml:space="preserve">Durchführungsverordnung Wohnungsrecht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Zuständige Stellen nach dem Bayerischen Wohnraumförderungsgesetz (BayWoFG) sind</w:t>
      </w:r>
    </w:p>
    <w:p>
      <w:r>
        <w:t xml:space="preserve">1. für die Förderung von Mietwohnraum und dessen Modernisierung</w:t>
      </w:r>
    </w:p>
    <w:p>
      <w:r>
        <w:t xml:space="preserve">a) für Studierende das Staatsministerium für Wohnen, Bau und Verkehr,</w:t>
      </w:r>
    </w:p>
    <w:p>
      <w:r>
        <w:t xml:space="preserve">b) hinsichtlich der Entscheidungen über die in Abhängigkeit vom jeweiligen Haushaltseinkommen des Mieters gewährte Förderung die Kreisverwaltungsbehörden und</w:t>
      </w:r>
    </w:p>
    <w:p>
      <w:r>
        <w:t xml:space="preserve">c) im Übrigen</w:t>
      </w:r>
    </w:p>
    <w:p>
      <w:r>
        <w:t xml:space="preserve">aa) die Städte München, Nürnberg und Augsburg für ihren Bereich und</w:t>
      </w:r>
    </w:p>
    <w:p>
      <w:r>
        <w:t xml:space="preserve">bb) im Übrigen die Regierungen,</w:t>
      </w:r>
    </w:p>
    <w:p>
      <w:r>
        <w:t xml:space="preserve">2. für die Förderung von Eigenwohnraum, auch in Verbindung mit Mietwohnraum im Zweifamilienhaus, und dessen Modernisierung die Kreisverwaltungsbehörden.</w:t>
      </w:r>
    </w:p>
    <w:p>
      <w:r>
        <w:t xml:space="preserve">(2) Zuständige Stellen nach Art. 19 Abs. 2 BayWoFG, Art. 6 Abs. 4 und Art. 7 Abs. 3 und 4 des Bayerischen Wohnungsbindungsgesetzes (BayWoBindG) sind</w:t>
      </w:r>
    </w:p>
    <w:p>
      <w:r>
        <w:t xml:space="preserve">1. die Städte München, Nürnberg und Augsburg für ihren Bereich und</w:t>
      </w:r>
    </w:p>
    <w:p>
      <w:r>
        <w:t xml:space="preserve">2. im Übrigen die Regierungen.</w:t>
      </w:r>
    </w:p>
    <w:p>
      <w:r>
        <w:t xml:space="preserve">(3) Im Übrigen obliegen der Vollzug des Bayerischen Wohnraumförderungsgesetzes, des Bayerischen Wohnungsbindungsgesetzes und der auf ihrer Grundlage erlassenen Verordnungen sowie der Vollzug des § 6 Abs. 1 Satz 2 des Gesetzes zur Förderung des Bergarbeiterwohnungsbaues im Kohlenbergbau</w:t>
      </w:r>
    </w:p>
    <w:p>
      <w:r>
        <w:t xml:space="preserve">1. den Gemeinden, denen alle Aufgaben der unteren Bauaufsichtsbehörde übertragen sind, und</w:t>
      </w:r>
    </w:p>
    <w:p>
      <w:r>
        <w:t xml:space="preserve">2. im Übrigen den Kreisverwaltungsbehörden.</w:t>
      </w:r>
    </w:p>
    <w:p>
      <w:r>
        <w:rPr>
          <w:color w:val="555555"/>
          <w:sz w:val="17"/>
        </w:rPr>
        <w:t xml:space="preserve">Zitiervorschlag: § 1 DVWoR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https://recht.nulegal.eu/gesetze/DVWoR/1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